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176E" w14:textId="77777777" w:rsidR="008A7A14" w:rsidRDefault="008A7A14" w:rsidP="008A7A1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A7A14">
        <w:rPr>
          <w:b/>
          <w:sz w:val="28"/>
          <w:szCs w:val="28"/>
        </w:rPr>
        <w:t>Änderungssatzung zur</w:t>
      </w:r>
    </w:p>
    <w:p w14:paraId="11FAB85F" w14:textId="77777777" w:rsidR="008A7A14" w:rsidRDefault="00CF4652" w:rsidP="004409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Satzung über die Erhebung von Kostenersatz, Gebühren und Auslagen für Dienst- und Sachleistungen der Freiwilligen Feuerwehr </w:t>
      </w:r>
      <w:r w:rsidR="008A7A14" w:rsidRPr="008A7A14">
        <w:rPr>
          <w:b/>
          <w:sz w:val="28"/>
          <w:szCs w:val="28"/>
        </w:rPr>
        <w:t>der</w:t>
      </w:r>
      <w:r w:rsidR="008A7A14">
        <w:rPr>
          <w:b/>
          <w:sz w:val="28"/>
          <w:szCs w:val="28"/>
        </w:rPr>
        <w:t xml:space="preserve"> </w:t>
      </w:r>
      <w:r w:rsidR="008A7A14" w:rsidRPr="008A7A14">
        <w:rPr>
          <w:b/>
          <w:sz w:val="28"/>
          <w:szCs w:val="28"/>
        </w:rPr>
        <w:t>Stadt Naumburg (Saale)</w:t>
      </w:r>
      <w:r>
        <w:rPr>
          <w:b/>
          <w:sz w:val="28"/>
          <w:szCs w:val="28"/>
        </w:rPr>
        <w:t xml:space="preserve"> außerhalb der unentgeltlich </w:t>
      </w:r>
      <w:r w:rsidR="00440956">
        <w:rPr>
          <w:b/>
          <w:sz w:val="28"/>
          <w:szCs w:val="28"/>
        </w:rPr>
        <w:br/>
      </w:r>
      <w:r>
        <w:rPr>
          <w:b/>
          <w:sz w:val="28"/>
          <w:szCs w:val="28"/>
        </w:rPr>
        <w:t>zu erfüllenden Pflichtaufgaben</w:t>
      </w:r>
    </w:p>
    <w:p w14:paraId="5A7FCD15" w14:textId="77777777" w:rsidR="003F148A" w:rsidRDefault="003F148A" w:rsidP="003F148A">
      <w:pPr>
        <w:jc w:val="center"/>
        <w:rPr>
          <w:b/>
          <w:sz w:val="28"/>
          <w:szCs w:val="28"/>
        </w:rPr>
      </w:pPr>
    </w:p>
    <w:p w14:paraId="73EB7DC9" w14:textId="77777777" w:rsidR="003F148A" w:rsidRPr="003F148A" w:rsidRDefault="003F148A" w:rsidP="003F148A">
      <w:pPr>
        <w:jc w:val="center"/>
      </w:pPr>
      <w:r w:rsidRPr="003F148A">
        <w:rPr>
          <w:b/>
        </w:rPr>
        <w:t>Präambel</w:t>
      </w:r>
    </w:p>
    <w:p w14:paraId="2C457C16" w14:textId="77777777" w:rsidR="008A7A14" w:rsidRPr="008A7A14" w:rsidRDefault="008A7A14" w:rsidP="008A7A14"/>
    <w:p w14:paraId="00B61969" w14:textId="40D1ACC5" w:rsidR="0075039A" w:rsidRPr="007400B9" w:rsidRDefault="0075039A" w:rsidP="0075039A">
      <w:pPr>
        <w:jc w:val="both"/>
      </w:pPr>
      <w:r w:rsidRPr="007400B9">
        <w:t xml:space="preserve">Aufgrund der §§ 8 Abs. 1 S. 1 und 45 Abs. 2 Nr. 1 des Kommunalverfassungsgesetzes des Landes Sachsen-Anhalt (Kommunalverfassungsgesetz - KVG LSA) in der Fassung der Bekanntmachung vom 17. Juni 2014 (GVBl. LSA 2014, S. 288), zuletzt geändert durch </w:t>
      </w:r>
      <w:r w:rsidR="00C31AED" w:rsidRPr="00C31AED">
        <w:t>Artikel 2 des Gesetzes vom 15. Dezember 2020 (GVBl. LSA S. 712, 713)</w:t>
      </w:r>
      <w:r w:rsidRPr="007400B9">
        <w:t xml:space="preserve">, des § 22 des Brandschutz- und Hilfeleistungsgesetzes des Landes Sachsen-Anhalt (Brandschutzgesetz - </w:t>
      </w:r>
      <w:proofErr w:type="spellStart"/>
      <w:r w:rsidRPr="007400B9">
        <w:t>BrSchG</w:t>
      </w:r>
      <w:proofErr w:type="spellEnd"/>
      <w:r w:rsidRPr="007400B9">
        <w:t xml:space="preserve">) in der Fassung der Bekanntmachung vom 7. Juni 2001 (GVBl. LSA 2001, S. 190), zuletzt geändert </w:t>
      </w:r>
      <w:r w:rsidR="00C31AED" w:rsidRPr="00C31AED">
        <w:t>durch Artikel 1 des Gesetzes vom 24. März 2020 (GVBl. LSA S. 108)</w:t>
      </w:r>
      <w:r w:rsidRPr="007400B9">
        <w:t xml:space="preserve"> und</w:t>
      </w:r>
      <w:r w:rsidRPr="007400B9">
        <w:rPr>
          <w:color w:val="FF0000"/>
        </w:rPr>
        <w:t xml:space="preserve"> </w:t>
      </w:r>
      <w:r w:rsidRPr="007400B9">
        <w:t>der §§ 1, 2 und 5 des Kommunalabgabengesetzes des Landes Sachsen-Anhalt (KAG-LSA) in der Fassung der Bekanntmachung vom 13. Dezember 1996 (GVBl. LSA 1996, S. 405), zuletzt geändert durch Gesetz vom 17.Juni 2016</w:t>
      </w:r>
      <w:r w:rsidRPr="007400B9">
        <w:rPr>
          <w:color w:val="FF0000"/>
        </w:rPr>
        <w:t xml:space="preserve"> </w:t>
      </w:r>
      <w:r w:rsidRPr="007400B9">
        <w:t xml:space="preserve">(GVBl. LSA S. 202) hat der Gemeinderat der Stadt Naumburg (Saale) in seiner Sitzung am </w:t>
      </w:r>
      <w:r w:rsidR="001F50E3">
        <w:t>14</w:t>
      </w:r>
      <w:r w:rsidR="00F23B70">
        <w:t>.</w:t>
      </w:r>
      <w:r w:rsidR="001F50E3">
        <w:t>4</w:t>
      </w:r>
      <w:r w:rsidR="00F23B70">
        <w:t xml:space="preserve">.2021 </w:t>
      </w:r>
      <w:r w:rsidRPr="007400B9">
        <w:t>folgende Satzung beschlossen:</w:t>
      </w:r>
    </w:p>
    <w:p w14:paraId="64F97436" w14:textId="77777777" w:rsidR="008A7A14" w:rsidRDefault="008A7A14" w:rsidP="008A7A14">
      <w:pPr>
        <w:jc w:val="both"/>
      </w:pPr>
    </w:p>
    <w:p w14:paraId="50EC15C2" w14:textId="77777777" w:rsidR="008A7A14" w:rsidRDefault="008A7A14" w:rsidP="008A7A14"/>
    <w:p w14:paraId="0C0B8620" w14:textId="77777777" w:rsidR="003F148A" w:rsidRPr="003F148A" w:rsidRDefault="003F148A" w:rsidP="008A7A14">
      <w:pPr>
        <w:rPr>
          <w:b/>
          <w:bCs/>
        </w:rPr>
      </w:pPr>
      <w:r>
        <w:t xml:space="preserve">                                                                   </w:t>
      </w:r>
      <w:r w:rsidRPr="003F148A">
        <w:rPr>
          <w:b/>
          <w:bCs/>
        </w:rPr>
        <w:t>Artikel 1</w:t>
      </w:r>
    </w:p>
    <w:p w14:paraId="31253A84" w14:textId="77777777" w:rsidR="003F148A" w:rsidRDefault="003F148A" w:rsidP="008A7A14"/>
    <w:p w14:paraId="7C4298F7" w14:textId="77777777" w:rsidR="008A7A14" w:rsidRDefault="008A7A14" w:rsidP="005408BE">
      <w:pPr>
        <w:jc w:val="both"/>
      </w:pPr>
      <w:r>
        <w:t xml:space="preserve">Die </w:t>
      </w:r>
      <w:r w:rsidR="0075039A">
        <w:t>S</w:t>
      </w:r>
      <w:r>
        <w:t>atzung wird in folgenden Punkten geändert:</w:t>
      </w:r>
    </w:p>
    <w:p w14:paraId="21F332B8" w14:textId="77777777" w:rsidR="008A7A14" w:rsidRDefault="008A7A14" w:rsidP="005408BE">
      <w:pPr>
        <w:jc w:val="both"/>
      </w:pPr>
    </w:p>
    <w:p w14:paraId="09ED8168" w14:textId="77777777" w:rsidR="007400B9" w:rsidRDefault="005D1610" w:rsidP="003F63CC">
      <w:pPr>
        <w:ind w:left="284" w:hanging="284"/>
      </w:pPr>
      <w:r>
        <w:t xml:space="preserve">Der </w:t>
      </w:r>
      <w:r w:rsidR="00AB081D">
        <w:t xml:space="preserve">§ </w:t>
      </w:r>
      <w:r w:rsidR="0075039A">
        <w:t>4</w:t>
      </w:r>
      <w:r w:rsidR="00AB081D">
        <w:t xml:space="preserve"> wird </w:t>
      </w:r>
      <w:r>
        <w:t>wie folgt neu gefasst:</w:t>
      </w:r>
    </w:p>
    <w:p w14:paraId="778A2DF9" w14:textId="77777777" w:rsidR="007400B9" w:rsidRPr="007400B9" w:rsidRDefault="007400B9" w:rsidP="007400B9">
      <w:pPr>
        <w:ind w:left="284" w:hanging="284"/>
      </w:pPr>
    </w:p>
    <w:p w14:paraId="0B129655" w14:textId="77777777" w:rsidR="007400B9" w:rsidRPr="007400B9" w:rsidRDefault="007400B9" w:rsidP="007400B9">
      <w:r w:rsidRPr="007400B9">
        <w:t xml:space="preserve">§ 4 </w:t>
      </w:r>
    </w:p>
    <w:p w14:paraId="631DEB81" w14:textId="0C097150" w:rsidR="007400B9" w:rsidRDefault="007400B9" w:rsidP="007400B9">
      <w:r w:rsidRPr="007400B9">
        <w:t>Gebührentarif und Bemessungsgrundlage</w:t>
      </w:r>
    </w:p>
    <w:p w14:paraId="614CB1C6" w14:textId="77777777" w:rsidR="002E3C56" w:rsidRPr="007400B9" w:rsidRDefault="002E3C56" w:rsidP="007400B9">
      <w:pPr>
        <w:rPr>
          <w:color w:val="FF0000"/>
        </w:rPr>
      </w:pPr>
    </w:p>
    <w:p w14:paraId="0DE0AFA6" w14:textId="77777777" w:rsidR="007400B9" w:rsidRPr="007400B9" w:rsidRDefault="007400B9" w:rsidP="007400B9">
      <w:pPr>
        <w:numPr>
          <w:ilvl w:val="0"/>
          <w:numId w:val="9"/>
        </w:numPr>
      </w:pPr>
      <w:r w:rsidRPr="007400B9">
        <w:t>Gebühren werden nach Maßgabe des als Anlage beigefügten Gebührentarifes erhoben.</w:t>
      </w:r>
    </w:p>
    <w:p w14:paraId="7FBF2979" w14:textId="5D9C3697" w:rsidR="007400B9" w:rsidRDefault="007400B9" w:rsidP="007400B9">
      <w:pPr>
        <w:ind w:left="435"/>
      </w:pPr>
      <w:r w:rsidRPr="007400B9">
        <w:t>Die Anlage ist Bestandteil der Satz</w:t>
      </w:r>
      <w:r>
        <w:t xml:space="preserve">ung. </w:t>
      </w:r>
      <w:r w:rsidRPr="007400B9">
        <w:t xml:space="preserve">Soweit ab 1.Januar 2021 Leistungen der </w:t>
      </w:r>
      <w:r>
        <w:br/>
      </w:r>
      <w:r w:rsidRPr="007400B9">
        <w:t>U</w:t>
      </w:r>
      <w:r>
        <w:t>m</w:t>
      </w:r>
      <w:r w:rsidRPr="007400B9">
        <w:t>satzsteuer unterliegen, tritt zu den im Gebührentarif festgesetzten Gebühren die Umsatzsteuer in der im Umsatzsteuergesetz jeweils festgelegten Höhe hinzu.</w:t>
      </w:r>
    </w:p>
    <w:p w14:paraId="4CE7170C" w14:textId="77777777" w:rsidR="002E3C56" w:rsidRPr="007400B9" w:rsidRDefault="002E3C56" w:rsidP="007400B9">
      <w:pPr>
        <w:ind w:left="435"/>
      </w:pPr>
    </w:p>
    <w:p w14:paraId="63A713AC" w14:textId="77777777" w:rsidR="007400B9" w:rsidRPr="007400B9" w:rsidRDefault="007400B9" w:rsidP="007400B9">
      <w:pPr>
        <w:numPr>
          <w:ilvl w:val="0"/>
          <w:numId w:val="9"/>
        </w:numPr>
      </w:pPr>
      <w:r w:rsidRPr="007400B9">
        <w:t>Die Gebühr wird nach Zahl und Dauer der eingesetzten Feuerwehrkräfte und Fahrzeuge berechnet,</w:t>
      </w:r>
      <w:r>
        <w:t xml:space="preserve"> </w:t>
      </w:r>
      <w:r w:rsidRPr="007400B9">
        <w:t>soweit nicht im Gebührentarif ein anderer Maßstab vorgesehen ist. Weitere Kosten aus dem Gebührentarif werden zuzüglich zu den Gebühren in Rechnung gestellt.</w:t>
      </w:r>
      <w:r>
        <w:br/>
      </w:r>
    </w:p>
    <w:p w14:paraId="1BAA8C1F" w14:textId="48F0B972" w:rsidR="007400B9" w:rsidRPr="007400B9" w:rsidRDefault="007400B9" w:rsidP="007400B9">
      <w:pPr>
        <w:numPr>
          <w:ilvl w:val="0"/>
          <w:numId w:val="9"/>
        </w:numPr>
      </w:pPr>
      <w:r w:rsidRPr="007400B9">
        <w:t>Maßgeblich für die Gebührenberechnung ist der Zeitraum von der Alarmierung der Feuerwehr über die Leitstelle oder die Alarmierung über eigene Systeme der Feuerwehr bis zur Wi</w:t>
      </w:r>
      <w:r w:rsidR="00497109">
        <w:t>e</w:t>
      </w:r>
      <w:r w:rsidRPr="007400B9">
        <w:t>derherstellung der Einsatzbereitschaft als Einsatzende.</w:t>
      </w:r>
      <w:r>
        <w:br/>
      </w:r>
    </w:p>
    <w:p w14:paraId="78CE448B" w14:textId="77777777" w:rsidR="007400B9" w:rsidRPr="00252A7A" w:rsidRDefault="007400B9" w:rsidP="00252A7A">
      <w:pPr>
        <w:numPr>
          <w:ilvl w:val="0"/>
          <w:numId w:val="9"/>
        </w:numPr>
      </w:pPr>
      <w:r w:rsidRPr="007400B9">
        <w:t xml:space="preserve">Die Gebühr wird minutengenau abgerechnet. Im Gebührentarif wird die Höhe </w:t>
      </w:r>
      <w:proofErr w:type="gramStart"/>
      <w:r w:rsidRPr="007400B9">
        <w:t>der  stündlichen</w:t>
      </w:r>
      <w:proofErr w:type="gramEnd"/>
      <w:r w:rsidRPr="007400B9">
        <w:t xml:space="preserve"> und der </w:t>
      </w:r>
      <w:proofErr w:type="spellStart"/>
      <w:r w:rsidRPr="007400B9">
        <w:t>minütlichen</w:t>
      </w:r>
      <w:proofErr w:type="spellEnd"/>
      <w:r w:rsidRPr="007400B9">
        <w:t xml:space="preserve"> Gebühr ausgewiesen. </w:t>
      </w:r>
      <w:r w:rsidR="00252A7A">
        <w:br/>
      </w:r>
    </w:p>
    <w:p w14:paraId="1C288D0C" w14:textId="38DD6FB9" w:rsidR="007400B9" w:rsidRPr="007400B9" w:rsidRDefault="007400B9" w:rsidP="007400B9">
      <w:pPr>
        <w:numPr>
          <w:ilvl w:val="0"/>
          <w:numId w:val="9"/>
        </w:numPr>
      </w:pPr>
      <w:r w:rsidRPr="007400B9">
        <w:lastRenderedPageBreak/>
        <w:t>Nach der Lagebeurteilung am Einsatzort liegt der Einsatz an Personal, Fahrzeugen und Geräten im pflichtgemäßen Ermessen der Einsatzleitung unter Berücksichtigung der gültigen Alarmierungs</w:t>
      </w:r>
      <w:r w:rsidRPr="007400B9">
        <w:rPr>
          <w:color w:val="FF0000"/>
        </w:rPr>
        <w:t>-</w:t>
      </w:r>
      <w:r w:rsidRPr="007400B9">
        <w:t xml:space="preserve"> und </w:t>
      </w:r>
      <w:r w:rsidR="007432C2">
        <w:t>Ausrückeo</w:t>
      </w:r>
      <w:r w:rsidR="007432C2" w:rsidRPr="007400B9">
        <w:t>rdnung</w:t>
      </w:r>
      <w:r w:rsidRPr="007400B9">
        <w:t xml:space="preserve"> der Feuerwehr</w:t>
      </w:r>
      <w:r w:rsidRPr="007400B9">
        <w:rPr>
          <w:color w:val="FF0000"/>
        </w:rPr>
        <w:t xml:space="preserve"> </w:t>
      </w:r>
      <w:r w:rsidRPr="007400B9">
        <w:t>der Stadt Naumburg</w:t>
      </w:r>
      <w:r w:rsidR="001F50E3">
        <w:t xml:space="preserve"> </w:t>
      </w:r>
      <w:r w:rsidRPr="007400B9">
        <w:t>(Saale).</w:t>
      </w:r>
    </w:p>
    <w:p w14:paraId="5AB7C546" w14:textId="77777777" w:rsidR="007400B9" w:rsidRPr="007400B9" w:rsidRDefault="007400B9" w:rsidP="007400B9">
      <w:pPr>
        <w:ind w:left="284" w:hanging="284"/>
      </w:pPr>
    </w:p>
    <w:p w14:paraId="5717E5F2" w14:textId="77777777" w:rsidR="007400B9" w:rsidRPr="007400B9" w:rsidRDefault="00440956" w:rsidP="00440956">
      <w:r>
        <w:t>Die Anlage zur Satzung über die Erhebung von Kostenersatz, Gebühren und Auslagen für Leistungen der freiwilligen Feuerwehr der Stadt Naumburg wird wie folgt neu gefasst:</w:t>
      </w:r>
    </w:p>
    <w:p w14:paraId="4ADD54BF" w14:textId="77777777" w:rsidR="00440956" w:rsidRPr="007400B9" w:rsidRDefault="00440956" w:rsidP="007400B9">
      <w:pPr>
        <w:ind w:left="284" w:hanging="284"/>
      </w:pPr>
    </w:p>
    <w:tbl>
      <w:tblPr>
        <w:tblW w:w="9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404"/>
        <w:gridCol w:w="160"/>
        <w:gridCol w:w="1118"/>
        <w:gridCol w:w="1357"/>
      </w:tblGrid>
      <w:tr w:rsidR="00440956" w:rsidRPr="00440956" w14:paraId="2EF29D98" w14:textId="77777777" w:rsidTr="003B241C">
        <w:trPr>
          <w:trHeight w:val="300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0971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 xml:space="preserve">Gebührentarif für Leistungen der Freiwilligen Feuerwehr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F6A9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</w:p>
        </w:tc>
      </w:tr>
      <w:tr w:rsidR="00440956" w:rsidRPr="00440956" w14:paraId="07CB3C17" w14:textId="77777777" w:rsidTr="003B241C">
        <w:trPr>
          <w:trHeight w:val="300"/>
        </w:trPr>
        <w:tc>
          <w:tcPr>
            <w:tcW w:w="7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8EC9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der Stadt Naumburg (Saale)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8232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9572" w14:textId="77777777" w:rsidR="00440956" w:rsidRPr="00440956" w:rsidRDefault="00440956" w:rsidP="004409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0956" w:rsidRPr="00440956" w14:paraId="3326A173" w14:textId="77777777" w:rsidTr="003B241C">
        <w:trPr>
          <w:trHeight w:val="18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F3A2" w14:textId="77777777" w:rsidR="00440956" w:rsidRPr="00440956" w:rsidRDefault="00440956" w:rsidP="004409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46F2" w14:textId="77777777" w:rsidR="00440956" w:rsidRPr="00440956" w:rsidRDefault="00440956" w:rsidP="004409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9B7E" w14:textId="77777777" w:rsidR="00440956" w:rsidRPr="00440956" w:rsidRDefault="00440956" w:rsidP="004409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E1A1" w14:textId="77777777" w:rsidR="00440956" w:rsidRPr="00440956" w:rsidRDefault="00440956" w:rsidP="004409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0956" w:rsidRPr="00440956" w14:paraId="6F8F76FA" w14:textId="77777777" w:rsidTr="003B241C">
        <w:trPr>
          <w:trHeight w:val="6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88F3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6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B9C1" w14:textId="77777777" w:rsidR="00440956" w:rsidRPr="00440956" w:rsidRDefault="00440956" w:rsidP="00440956">
            <w:pPr>
              <w:jc w:val="center"/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Gebührentatbestand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F51B" w14:textId="57534FD8" w:rsidR="00440956" w:rsidRPr="00440956" w:rsidRDefault="00440956" w:rsidP="0044095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FE66" w14:textId="77777777" w:rsidR="00440956" w:rsidRPr="00440956" w:rsidRDefault="00440956" w:rsidP="00440956">
            <w:pPr>
              <w:jc w:val="center"/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Gebühr je Minute</w:t>
            </w:r>
          </w:p>
        </w:tc>
      </w:tr>
      <w:tr w:rsidR="00440956" w:rsidRPr="00440956" w14:paraId="06C669B8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528C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1.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BD46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Personaleinsatz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D603" w14:textId="322AE4A4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F1AE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7F7D8582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7297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1.1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CDEB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Einsatzkraft im Einsatzdienst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79A6" w14:textId="329232E2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C7DE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                0,51 € </w:t>
            </w:r>
          </w:p>
        </w:tc>
      </w:tr>
      <w:tr w:rsidR="00440956" w:rsidRPr="00440956" w14:paraId="334A28D0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C1B8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5C20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1EE0" w14:textId="2DB6D0A2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5CC2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3613A83E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7F18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812D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Einsatz von Fahrzeugen inklusive Beladung und Ausstattung (ohne Personal)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83CC" w14:textId="596EAA18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0AE3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7F905258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1D14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2.1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57D8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Kommandowagen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A932" w14:textId="0580535B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D80D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                0,13 € </w:t>
            </w:r>
          </w:p>
        </w:tc>
      </w:tr>
      <w:tr w:rsidR="00440956" w:rsidRPr="00440956" w14:paraId="25926CAD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0243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2.2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ADC4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Mannschaftstransport-/Mehrzweckfahrzeug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2017C" w14:textId="270A8E78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BE3F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                0,72 € </w:t>
            </w:r>
          </w:p>
        </w:tc>
      </w:tr>
      <w:tr w:rsidR="00440956" w:rsidRPr="00440956" w14:paraId="0B11993D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F100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2.3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8A21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Kraftfahrdrehleiter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8FB03" w14:textId="5B086536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98ED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                0,98 € </w:t>
            </w:r>
          </w:p>
        </w:tc>
      </w:tr>
      <w:tr w:rsidR="00440956" w:rsidRPr="00440956" w14:paraId="51738413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642B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2.4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A981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Löschfahrzeug/Hilfeleistungslöschfahrzeug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67236" w14:textId="6C1FBDBA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4BE0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                0,51 € </w:t>
            </w:r>
          </w:p>
        </w:tc>
      </w:tr>
      <w:tr w:rsidR="00440956" w:rsidRPr="00440956" w14:paraId="6B82C66A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B37A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2.5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42B5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Tanklöschfahrzeug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0F78" w14:textId="18BE851B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2FDC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                0,30 € </w:t>
            </w:r>
          </w:p>
        </w:tc>
      </w:tr>
      <w:tr w:rsidR="00440956" w:rsidRPr="00440956" w14:paraId="7E97689F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B2E4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2.6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9B55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Hochdrucklöschfahrzeug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50929" w14:textId="60050C16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3858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                0,43 € </w:t>
            </w:r>
          </w:p>
        </w:tc>
      </w:tr>
      <w:tr w:rsidR="00440956" w:rsidRPr="00440956" w14:paraId="04AD9E56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A81B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2.7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CF87" w14:textId="77777777" w:rsidR="00440956" w:rsidRPr="00440956" w:rsidRDefault="00440956" w:rsidP="00440956">
            <w:pPr>
              <w:rPr>
                <w:rFonts w:eastAsia="Times New Roman"/>
              </w:rPr>
            </w:pPr>
            <w:proofErr w:type="spellStart"/>
            <w:r w:rsidRPr="00440956">
              <w:rPr>
                <w:rFonts w:eastAsia="Times New Roman"/>
              </w:rPr>
              <w:t>Kleinlösch-und</w:t>
            </w:r>
            <w:proofErr w:type="spellEnd"/>
            <w:r w:rsidRPr="00440956">
              <w:rPr>
                <w:rFonts w:eastAsia="Times New Roman"/>
              </w:rPr>
              <w:t xml:space="preserve"> Tragkraftspritzenfahrzeug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C3EF8" w14:textId="3CAD996F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6A2A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                1,26 € </w:t>
            </w:r>
          </w:p>
        </w:tc>
      </w:tr>
      <w:tr w:rsidR="00440956" w:rsidRPr="00440956" w14:paraId="0E1A4F0B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EAE3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2.8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CF4B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Rüstwagen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5F5D" w14:textId="6AE41150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5B03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                0,26 € </w:t>
            </w:r>
          </w:p>
        </w:tc>
      </w:tr>
      <w:tr w:rsidR="00440956" w:rsidRPr="00440956" w14:paraId="0C54E470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2161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2.9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4B8D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Gerätewagen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7145F" w14:textId="4A7909AC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6A8A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                0,02 € </w:t>
            </w:r>
          </w:p>
        </w:tc>
      </w:tr>
      <w:tr w:rsidR="00440956" w:rsidRPr="00440956" w14:paraId="0B861C8D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47EC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2.10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FB28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Schlauchwagen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FFE0" w14:textId="2074DCA2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261F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                0,01 € </w:t>
            </w:r>
          </w:p>
        </w:tc>
      </w:tr>
      <w:tr w:rsidR="00440956" w:rsidRPr="00440956" w14:paraId="682312B3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03EC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D3F23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09B7" w14:textId="3E4101D4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8FD0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42A3DB21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4BD9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901B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Brandsicherheitswachen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5891" w14:textId="5EEFE6B9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76C9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65205457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6039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3.1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3F60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Einsatzkraft im Einsatzdienst (50 % von 1.1)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E2974" w14:textId="347336B4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3057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                0,25 € </w:t>
            </w:r>
          </w:p>
        </w:tc>
      </w:tr>
      <w:tr w:rsidR="00541028" w:rsidRPr="00440956" w14:paraId="449C588D" w14:textId="77777777" w:rsidTr="003B241C">
        <w:trPr>
          <w:trHeight w:val="30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D8DED" w14:textId="71DAED2C" w:rsidR="00541028" w:rsidRPr="00440956" w:rsidRDefault="00541028" w:rsidP="00440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3.2.</w:t>
            </w:r>
          </w:p>
        </w:tc>
        <w:tc>
          <w:tcPr>
            <w:tcW w:w="64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0AB56F" w14:textId="06546767" w:rsidR="00541028" w:rsidRPr="00440956" w:rsidRDefault="00541028" w:rsidP="00440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Fahrzeuge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58C9D4F" w14:textId="430655A8" w:rsidR="00541028" w:rsidRPr="00440956" w:rsidRDefault="00541028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3DF3260" w14:textId="559D8983" w:rsidR="00541028" w:rsidRPr="00440956" w:rsidRDefault="003B241C" w:rsidP="003B24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541028">
              <w:rPr>
                <w:rFonts w:eastAsia="Times New Roman"/>
              </w:rPr>
              <w:t>0,</w:t>
            </w:r>
            <w:r w:rsidR="00E41603">
              <w:rPr>
                <w:rFonts w:eastAsia="Times New Roman"/>
              </w:rPr>
              <w:t>17</w:t>
            </w:r>
            <w:r w:rsidR="00541028">
              <w:rPr>
                <w:rFonts w:eastAsia="Times New Roman"/>
              </w:rPr>
              <w:t xml:space="preserve"> €</w:t>
            </w:r>
          </w:p>
        </w:tc>
      </w:tr>
      <w:tr w:rsidR="00541028" w:rsidRPr="00440956" w14:paraId="06F8CA70" w14:textId="77777777" w:rsidTr="003B241C">
        <w:trPr>
          <w:trHeight w:val="276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E0498" w14:textId="77777777" w:rsidR="00541028" w:rsidRPr="00440956" w:rsidRDefault="00541028" w:rsidP="00440956">
            <w:pPr>
              <w:rPr>
                <w:rFonts w:eastAsia="Times New Roman"/>
              </w:rPr>
            </w:pPr>
          </w:p>
        </w:tc>
        <w:tc>
          <w:tcPr>
            <w:tcW w:w="64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032038" w14:textId="77777777" w:rsidR="00541028" w:rsidRPr="00440956" w:rsidRDefault="00541028" w:rsidP="00440956">
            <w:pPr>
              <w:rPr>
                <w:rFonts w:eastAsia="Times New Roman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5E411B" w14:textId="77777777" w:rsidR="00541028" w:rsidRPr="00440956" w:rsidRDefault="00541028" w:rsidP="00440956">
            <w:pPr>
              <w:rPr>
                <w:rFonts w:eastAsia="Times New Roman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AF7FEDA" w14:textId="71307751" w:rsidR="00541028" w:rsidRPr="00440956" w:rsidRDefault="00541028" w:rsidP="00440956">
            <w:pPr>
              <w:rPr>
                <w:rFonts w:eastAsia="Times New Roman"/>
              </w:rPr>
            </w:pPr>
          </w:p>
        </w:tc>
      </w:tr>
      <w:tr w:rsidR="00440956" w:rsidRPr="00440956" w14:paraId="0CB67117" w14:textId="77777777" w:rsidTr="003B241C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EAFB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6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54CD1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Verbrauchsmaterialien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0B928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F517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52C34506" w14:textId="77777777" w:rsidTr="003B241C">
        <w:trPr>
          <w:trHeight w:val="30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E1D41F7" w14:textId="77777777" w:rsidR="00440956" w:rsidRPr="00440956" w:rsidRDefault="00440956" w:rsidP="00440956">
            <w:pPr>
              <w:jc w:val="center"/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88CED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Verbrauchsmaterial aller Art und Ersatzfüllungen und -teile werden zum jeweiligen </w:t>
            </w:r>
          </w:p>
        </w:tc>
      </w:tr>
      <w:tr w:rsidR="00440956" w:rsidRPr="00440956" w14:paraId="06E38659" w14:textId="77777777" w:rsidTr="003B241C">
        <w:trPr>
          <w:trHeight w:val="300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EAB9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87222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Tagespreis der Wiederbeschaffung berechnet.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F3B4C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AE3F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3EE45355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C78A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5.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4F6B7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Entsorgungskosten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98E70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553A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28359CA5" w14:textId="77777777" w:rsidTr="003B241C">
        <w:trPr>
          <w:trHeight w:val="30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5DC5BC" w14:textId="77777777" w:rsidR="00440956" w:rsidRPr="00440956" w:rsidRDefault="00440956" w:rsidP="00440956">
            <w:pPr>
              <w:jc w:val="center"/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79FAE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Die Entsorgung von aufgenommenen Öl- und Kraftstoffen, sonstigen Chemikalien </w:t>
            </w:r>
          </w:p>
        </w:tc>
      </w:tr>
      <w:tr w:rsidR="00440956" w:rsidRPr="00440956" w14:paraId="7145AF56" w14:textId="77777777" w:rsidTr="003B241C">
        <w:trPr>
          <w:trHeight w:val="300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735E4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B3E67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sowie von Öl-, Säurebinde- oder Schaummitteln wird nach </w:t>
            </w:r>
            <w:proofErr w:type="gramStart"/>
            <w:r w:rsidRPr="00440956">
              <w:rPr>
                <w:rFonts w:eastAsia="Times New Roman"/>
              </w:rPr>
              <w:t>den  tatsächlichen</w:t>
            </w:r>
            <w:proofErr w:type="gramEnd"/>
            <w:r w:rsidRPr="00440956">
              <w:rPr>
                <w:rFonts w:eastAsia="Times New Roman"/>
              </w:rPr>
              <w:t xml:space="preserve"> </w:t>
            </w:r>
          </w:p>
        </w:tc>
      </w:tr>
      <w:tr w:rsidR="00440956" w:rsidRPr="00440956" w14:paraId="25E1F6F7" w14:textId="77777777" w:rsidTr="003B241C">
        <w:trPr>
          <w:trHeight w:val="300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45FBE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9CC46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Entsorgungskosten berechnet.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E6184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AE63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17C1B62A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C23E4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 xml:space="preserve">6. 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9CA93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Einsatz des Rettungsbootes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70F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7574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2E3C56" w:rsidRPr="00440956" w14:paraId="704D48AB" w14:textId="77777777" w:rsidTr="003B241C">
        <w:trPr>
          <w:trHeight w:val="30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D76269F" w14:textId="77777777" w:rsidR="002E3C56" w:rsidRPr="00440956" w:rsidRDefault="002E3C56" w:rsidP="00440956">
            <w:pPr>
              <w:jc w:val="center"/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C5C7" w14:textId="20C369C2" w:rsidR="002E3C56" w:rsidRPr="00440956" w:rsidRDefault="002E3C56" w:rsidP="002E3C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Der beim kostenpflichtigen Einsatz eines Rettungsbootes </w:t>
            </w:r>
            <w:proofErr w:type="gramStart"/>
            <w:r>
              <w:rPr>
                <w:rFonts w:eastAsia="Times New Roman"/>
              </w:rPr>
              <w:t>v</w:t>
            </w:r>
            <w:r w:rsidRPr="00440956">
              <w:rPr>
                <w:rFonts w:eastAsia="Times New Roman"/>
              </w:rPr>
              <w:t>erbrauchte  Kraftstoff</w:t>
            </w:r>
            <w:proofErr w:type="gramEnd"/>
            <w:r w:rsidRPr="00440956">
              <w:rPr>
                <w:rFonts w:eastAsia="Times New Roman"/>
              </w:rPr>
              <w:t xml:space="preserve"> </w:t>
            </w:r>
          </w:p>
        </w:tc>
      </w:tr>
      <w:tr w:rsidR="00440956" w:rsidRPr="00440956" w14:paraId="44FD7448" w14:textId="77777777" w:rsidTr="003B241C">
        <w:trPr>
          <w:trHeight w:val="300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9BF1B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6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559BC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wird nach den Wiederbeschaffungskosten berechnet.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3C7D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7E505F7D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C513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7.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F385A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Fehlalarm Brandmeldeanlagen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1B55B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23AC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56E1CE44" w14:textId="77777777" w:rsidTr="003B241C">
        <w:trPr>
          <w:trHeight w:val="30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C6C2EBA" w14:textId="77777777" w:rsidR="00440956" w:rsidRPr="00440956" w:rsidRDefault="00440956" w:rsidP="00440956">
            <w:pPr>
              <w:jc w:val="center"/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51763" w14:textId="77777777" w:rsidR="002E3C56" w:rsidRPr="002E3C56" w:rsidRDefault="002E3C56" w:rsidP="002E3C56">
            <w:pPr>
              <w:rPr>
                <w:rFonts w:eastAsia="Times New Roman"/>
                <w:color w:val="auto"/>
              </w:rPr>
            </w:pPr>
            <w:r w:rsidRPr="002E3C56">
              <w:rPr>
                <w:rFonts w:eastAsia="Times New Roman"/>
                <w:color w:val="auto"/>
              </w:rPr>
              <w:t xml:space="preserve">Die Gebühren für Personal und Fahrzeuge werden gemäß Ziffer 1 und 2 für die </w:t>
            </w:r>
          </w:p>
          <w:p w14:paraId="65AEE38A" w14:textId="77777777" w:rsidR="002E3C56" w:rsidRPr="002E3C56" w:rsidRDefault="002E3C56" w:rsidP="002E3C56">
            <w:pPr>
              <w:rPr>
                <w:rFonts w:eastAsia="Times New Roman"/>
                <w:color w:val="auto"/>
              </w:rPr>
            </w:pPr>
            <w:r w:rsidRPr="002E3C56">
              <w:rPr>
                <w:rFonts w:eastAsia="Times New Roman"/>
                <w:color w:val="auto"/>
              </w:rPr>
              <w:t xml:space="preserve">Anzahl des tatsächlich eingesetzten Personals und der tatsächlich eingesetzten </w:t>
            </w:r>
          </w:p>
          <w:p w14:paraId="0D497A34" w14:textId="015C1647" w:rsidR="00440956" w:rsidRPr="002E3C56" w:rsidRDefault="002E3C56" w:rsidP="002E3C56">
            <w:pPr>
              <w:rPr>
                <w:rFonts w:eastAsia="Times New Roman"/>
                <w:color w:val="auto"/>
              </w:rPr>
            </w:pPr>
            <w:r w:rsidRPr="002E3C56">
              <w:rPr>
                <w:rFonts w:eastAsia="Times New Roman"/>
                <w:color w:val="auto"/>
              </w:rPr>
              <w:t>Fahrzeuge berechnet.</w:t>
            </w:r>
          </w:p>
        </w:tc>
      </w:tr>
      <w:tr w:rsidR="00440956" w:rsidRPr="00440956" w14:paraId="76E1B240" w14:textId="77777777" w:rsidTr="003B241C">
        <w:trPr>
          <w:trHeight w:val="70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BF4F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F50B3A" w14:textId="07A2C9DB" w:rsidR="00440956" w:rsidRPr="004941BF" w:rsidRDefault="00440956" w:rsidP="00440956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C5529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DC5C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1706D65C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32C4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lastRenderedPageBreak/>
              <w:t xml:space="preserve">8. </w:t>
            </w: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86A3D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proofErr w:type="spellStart"/>
            <w:r w:rsidRPr="00440956">
              <w:rPr>
                <w:rFonts w:eastAsia="Times New Roman"/>
                <w:b/>
                <w:bCs/>
              </w:rPr>
              <w:t>Unfugalarm</w:t>
            </w:r>
            <w:proofErr w:type="spellEnd"/>
            <w:r w:rsidRPr="00440956">
              <w:rPr>
                <w:rFonts w:eastAsia="Times New Roman"/>
                <w:b/>
                <w:bCs/>
              </w:rPr>
              <w:t>/Böswilliger Alarm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06240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2504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7409036C" w14:textId="77777777" w:rsidTr="003B241C">
        <w:trPr>
          <w:trHeight w:val="30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5A3AF8" w14:textId="77777777" w:rsidR="00440956" w:rsidRPr="00440956" w:rsidRDefault="00440956" w:rsidP="00440956">
            <w:pPr>
              <w:jc w:val="center"/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53B19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Die Gebühren für Personal und Fahrzeuge werden gemäß Ziffer 1 und 2 für die </w:t>
            </w:r>
          </w:p>
        </w:tc>
      </w:tr>
      <w:tr w:rsidR="00440956" w:rsidRPr="00440956" w14:paraId="7A31B6C8" w14:textId="77777777" w:rsidTr="003B241C">
        <w:trPr>
          <w:trHeight w:val="300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5422B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82FE1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Anzahl des tatsächlich eingesetzten Personals und der tatsächlich eingesetzten </w:t>
            </w:r>
          </w:p>
        </w:tc>
      </w:tr>
      <w:tr w:rsidR="00440956" w:rsidRPr="00440956" w14:paraId="1F23D47E" w14:textId="77777777" w:rsidTr="003B241C">
        <w:trPr>
          <w:trHeight w:val="300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E1402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8C95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Fahrzeuge berechnet.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13A2" w14:textId="77777777" w:rsidR="00440956" w:rsidRPr="00440956" w:rsidRDefault="00440956" w:rsidP="00440956">
            <w:pPr>
              <w:rPr>
                <w:rFonts w:eastAsia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1015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6C32A9D4" w14:textId="77777777" w:rsidTr="003B241C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979A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9.</w:t>
            </w:r>
          </w:p>
        </w:tc>
        <w:tc>
          <w:tcPr>
            <w:tcW w:w="6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3C0C5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Leistungen Dritter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70687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5564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 </w:t>
            </w:r>
          </w:p>
        </w:tc>
      </w:tr>
      <w:tr w:rsidR="00440956" w:rsidRPr="00440956" w14:paraId="43A5A36C" w14:textId="77777777" w:rsidTr="003B241C">
        <w:trPr>
          <w:trHeight w:val="30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AA154F" w14:textId="77777777" w:rsidR="00440956" w:rsidRPr="00440956" w:rsidRDefault="00440956" w:rsidP="00440956">
            <w:pPr>
              <w:jc w:val="center"/>
              <w:rPr>
                <w:rFonts w:eastAsia="Times New Roman"/>
                <w:b/>
                <w:bCs/>
              </w:rPr>
            </w:pPr>
            <w:r w:rsidRPr="00440956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07C1A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Kosten für Leistungen Dritter, die in Folge eines Einsatzes in Anspruch genommen</w:t>
            </w:r>
          </w:p>
        </w:tc>
      </w:tr>
      <w:tr w:rsidR="00440956" w:rsidRPr="00440956" w14:paraId="4DCF9027" w14:textId="77777777" w:rsidTr="003B241C">
        <w:trPr>
          <w:trHeight w:val="300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B45FE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9005B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 xml:space="preserve">worden sind, werden in der der Stadt Naumburg (Saale) in Rechnung gestellten </w:t>
            </w:r>
          </w:p>
        </w:tc>
      </w:tr>
      <w:tr w:rsidR="00440956" w:rsidRPr="00440956" w14:paraId="3F2B88D6" w14:textId="77777777" w:rsidTr="003B241C">
        <w:trPr>
          <w:trHeight w:val="300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A13FE" w14:textId="77777777" w:rsidR="00440956" w:rsidRPr="00440956" w:rsidRDefault="00440956" w:rsidP="0044095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DB95B" w14:textId="77777777" w:rsidR="00440956" w:rsidRPr="00440956" w:rsidRDefault="00440956" w:rsidP="00440956">
            <w:pPr>
              <w:rPr>
                <w:rFonts w:eastAsia="Times New Roman"/>
              </w:rPr>
            </w:pPr>
            <w:r w:rsidRPr="00440956">
              <w:rPr>
                <w:rFonts w:eastAsia="Times New Roman"/>
              </w:rPr>
              <w:t>Höhe weiter berechnet.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CE033" w14:textId="77777777" w:rsidR="00440956" w:rsidRPr="00440956" w:rsidRDefault="00440956" w:rsidP="00440956">
            <w:pPr>
              <w:rPr>
                <w:rFonts w:eastAsia="Times New Roman"/>
                <w:color w:val="FF0000"/>
              </w:rPr>
            </w:pPr>
            <w:r w:rsidRPr="00440956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0660" w14:textId="77777777" w:rsidR="00440956" w:rsidRPr="00440956" w:rsidRDefault="00440956" w:rsidP="00440956">
            <w:pPr>
              <w:rPr>
                <w:rFonts w:eastAsia="Times New Roman"/>
                <w:color w:val="FF0000"/>
              </w:rPr>
            </w:pPr>
            <w:r w:rsidRPr="00440956">
              <w:rPr>
                <w:rFonts w:eastAsia="Times New Roman"/>
                <w:color w:val="FF0000"/>
              </w:rPr>
              <w:t> </w:t>
            </w:r>
          </w:p>
        </w:tc>
      </w:tr>
    </w:tbl>
    <w:p w14:paraId="042D4C2B" w14:textId="77777777" w:rsidR="005D1610" w:rsidRDefault="005D1610" w:rsidP="00440956">
      <w:pPr>
        <w:ind w:left="284" w:hanging="284"/>
      </w:pPr>
      <w:r w:rsidRPr="007400B9">
        <w:br/>
      </w:r>
    </w:p>
    <w:p w14:paraId="58CFB99A" w14:textId="77777777" w:rsidR="005D1610" w:rsidRDefault="005D1610" w:rsidP="005408BE">
      <w:pPr>
        <w:jc w:val="both"/>
      </w:pPr>
    </w:p>
    <w:p w14:paraId="34103AB0" w14:textId="77777777" w:rsidR="005408BE" w:rsidRPr="003F148A" w:rsidRDefault="003F148A" w:rsidP="005408BE">
      <w:pPr>
        <w:jc w:val="center"/>
        <w:rPr>
          <w:b/>
          <w:bCs/>
        </w:rPr>
      </w:pPr>
      <w:r w:rsidRPr="003F148A">
        <w:rPr>
          <w:b/>
          <w:bCs/>
        </w:rPr>
        <w:t>Artikel 2</w:t>
      </w:r>
    </w:p>
    <w:p w14:paraId="6DA8416F" w14:textId="77777777" w:rsidR="005408BE" w:rsidRDefault="005408BE" w:rsidP="005408BE"/>
    <w:p w14:paraId="6AE334CF" w14:textId="77777777" w:rsidR="005408BE" w:rsidRDefault="005408BE" w:rsidP="005408BE">
      <w:r>
        <w:t>Diese Änderungssatzung tritt am Tage nach der Bekanntmachung in Kraft.</w:t>
      </w:r>
    </w:p>
    <w:p w14:paraId="296DE236" w14:textId="77777777" w:rsidR="005408BE" w:rsidRDefault="005408BE" w:rsidP="005408BE"/>
    <w:p w14:paraId="778BF294" w14:textId="77777777" w:rsidR="005408BE" w:rsidRDefault="005408BE" w:rsidP="005408BE"/>
    <w:p w14:paraId="4EE6041D" w14:textId="77777777" w:rsidR="005408BE" w:rsidRDefault="005408BE" w:rsidP="005408BE"/>
    <w:p w14:paraId="6938992F" w14:textId="7468E03E" w:rsidR="005408BE" w:rsidRDefault="005408BE" w:rsidP="005408BE">
      <w:r>
        <w:t>Naumburg</w:t>
      </w:r>
      <w:r w:rsidR="007B58D0">
        <w:t xml:space="preserve"> (Saale)</w:t>
      </w:r>
      <w:r>
        <w:t>, den ………………………………</w:t>
      </w:r>
    </w:p>
    <w:p w14:paraId="3B59994F" w14:textId="77777777" w:rsidR="005408BE" w:rsidRDefault="005408BE" w:rsidP="005408BE"/>
    <w:p w14:paraId="775B417D" w14:textId="77777777" w:rsidR="005408BE" w:rsidRDefault="005408BE" w:rsidP="005408BE"/>
    <w:p w14:paraId="02EC57CB" w14:textId="77777777" w:rsidR="003B6F6E" w:rsidRDefault="003B6F6E" w:rsidP="005408BE"/>
    <w:p w14:paraId="3FF0B221" w14:textId="77777777" w:rsidR="005408BE" w:rsidRDefault="005408BE" w:rsidP="005408BE"/>
    <w:p w14:paraId="0FEE7C5A" w14:textId="77777777" w:rsidR="005408BE" w:rsidRPr="00332EA9" w:rsidRDefault="005408BE" w:rsidP="005408BE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14:paraId="4B254370" w14:textId="77777777" w:rsidR="00934FF6" w:rsidRDefault="005408BE" w:rsidP="005408BE">
      <w:r>
        <w:t>Bernward Küper</w:t>
      </w:r>
      <w:r>
        <w:tab/>
      </w:r>
      <w:r>
        <w:tab/>
      </w:r>
      <w:r>
        <w:tab/>
      </w:r>
      <w:r>
        <w:tab/>
      </w:r>
      <w:r>
        <w:tab/>
        <w:t>Dienstsiegel</w:t>
      </w:r>
    </w:p>
    <w:p w14:paraId="6F99091C" w14:textId="467E7588" w:rsidR="005408BE" w:rsidRDefault="005408BE" w:rsidP="005408BE">
      <w:r>
        <w:t xml:space="preserve">Oberbürgermeister </w:t>
      </w:r>
    </w:p>
    <w:p w14:paraId="7C6FC0D0" w14:textId="6644E6AB" w:rsidR="00B9182F" w:rsidRPr="00B9182F" w:rsidRDefault="00B9182F" w:rsidP="00B9182F"/>
    <w:p w14:paraId="7C5218BE" w14:textId="748C1D11" w:rsidR="00B9182F" w:rsidRPr="00B9182F" w:rsidRDefault="00B9182F" w:rsidP="00B9182F"/>
    <w:p w14:paraId="3E4412AE" w14:textId="548D80A4" w:rsidR="00B9182F" w:rsidRPr="00B9182F" w:rsidRDefault="00B9182F" w:rsidP="00B9182F"/>
    <w:sectPr w:rsidR="00B9182F" w:rsidRPr="00B9182F" w:rsidSect="007432C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9670C"/>
    <w:multiLevelType w:val="hybridMultilevel"/>
    <w:tmpl w:val="EC7610E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B7105"/>
    <w:multiLevelType w:val="hybridMultilevel"/>
    <w:tmpl w:val="672CA314"/>
    <w:lvl w:ilvl="0" w:tplc="BF20A0A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A6E80"/>
    <w:multiLevelType w:val="hybridMultilevel"/>
    <w:tmpl w:val="A7A02172"/>
    <w:lvl w:ilvl="0" w:tplc="375C124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096F67"/>
    <w:multiLevelType w:val="hybridMultilevel"/>
    <w:tmpl w:val="EFB21B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73F85"/>
    <w:multiLevelType w:val="hybridMultilevel"/>
    <w:tmpl w:val="F0AEFA44"/>
    <w:lvl w:ilvl="0" w:tplc="04070015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479EA"/>
    <w:multiLevelType w:val="hybridMultilevel"/>
    <w:tmpl w:val="8B640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B4EF7"/>
    <w:multiLevelType w:val="hybridMultilevel"/>
    <w:tmpl w:val="B324FF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A4869"/>
    <w:multiLevelType w:val="hybridMultilevel"/>
    <w:tmpl w:val="2FC85088"/>
    <w:lvl w:ilvl="0" w:tplc="0407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7942FDA"/>
    <w:multiLevelType w:val="hybridMultilevel"/>
    <w:tmpl w:val="7C5A1436"/>
    <w:lvl w:ilvl="0" w:tplc="E06ADBF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14"/>
    <w:rsid w:val="00025BD2"/>
    <w:rsid w:val="000558BB"/>
    <w:rsid w:val="000F7BE4"/>
    <w:rsid w:val="00147FDB"/>
    <w:rsid w:val="001F50E3"/>
    <w:rsid w:val="00252A7A"/>
    <w:rsid w:val="002E3C56"/>
    <w:rsid w:val="00332EA9"/>
    <w:rsid w:val="003B241C"/>
    <w:rsid w:val="003B6F6E"/>
    <w:rsid w:val="003F148A"/>
    <w:rsid w:val="003F63CC"/>
    <w:rsid w:val="00440956"/>
    <w:rsid w:val="0047359A"/>
    <w:rsid w:val="004941BF"/>
    <w:rsid w:val="00497109"/>
    <w:rsid w:val="004C222D"/>
    <w:rsid w:val="005408BE"/>
    <w:rsid w:val="00541028"/>
    <w:rsid w:val="005D1610"/>
    <w:rsid w:val="0067790F"/>
    <w:rsid w:val="006B2527"/>
    <w:rsid w:val="007400B9"/>
    <w:rsid w:val="007432C2"/>
    <w:rsid w:val="0075039A"/>
    <w:rsid w:val="0076055C"/>
    <w:rsid w:val="00772BC4"/>
    <w:rsid w:val="00782F47"/>
    <w:rsid w:val="007B58D0"/>
    <w:rsid w:val="00806822"/>
    <w:rsid w:val="00810F94"/>
    <w:rsid w:val="00811314"/>
    <w:rsid w:val="008A7A14"/>
    <w:rsid w:val="008B79BD"/>
    <w:rsid w:val="00934FF6"/>
    <w:rsid w:val="00A61C5F"/>
    <w:rsid w:val="00AB081D"/>
    <w:rsid w:val="00B9182F"/>
    <w:rsid w:val="00BF243F"/>
    <w:rsid w:val="00C248C8"/>
    <w:rsid w:val="00C31AED"/>
    <w:rsid w:val="00CF4652"/>
    <w:rsid w:val="00E11C01"/>
    <w:rsid w:val="00E36905"/>
    <w:rsid w:val="00E41603"/>
    <w:rsid w:val="00EC08D0"/>
    <w:rsid w:val="00F2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2C47"/>
  <w15:chartTrackingRefBased/>
  <w15:docId w15:val="{7DCD41EC-9460-44D1-8591-7FEEAB3C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18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08BE"/>
    <w:pPr>
      <w:autoSpaceDE/>
      <w:autoSpaceDN/>
      <w:adjustRightInd/>
      <w:spacing w:after="200" w:line="276" w:lineRule="auto"/>
      <w:ind w:left="708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C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11C0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Ludwig, Anika</dc:creator>
  <cp:keywords/>
  <cp:lastModifiedBy>Jähn, Matthias</cp:lastModifiedBy>
  <cp:revision>2</cp:revision>
  <cp:lastPrinted>2021-03-04T08:51:00Z</cp:lastPrinted>
  <dcterms:created xsi:type="dcterms:W3CDTF">2021-03-10T10:23:00Z</dcterms:created>
  <dcterms:modified xsi:type="dcterms:W3CDTF">2021-03-10T10:23:00Z</dcterms:modified>
</cp:coreProperties>
</file>